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These genetic variants are often associated with familial HCM, and the clinical outcomes can vary widely among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 clinical trajectories of cardiovascular </w:t>
      </w:r>
      <w:r w:rsidR="00D5141C">
        <w:rPr>
          <w:rFonts w:ascii="Roboto" w:hAnsi="Roboto"/>
          <w:sz w:val="22"/>
          <w:szCs w:val="22"/>
        </w:rPr>
        <w:t>features</w:t>
      </w:r>
      <w:r w:rsidRPr="00DB6D77">
        <w:rPr>
          <w:rFonts w:ascii="Roboto" w:hAnsi="Roboto"/>
          <w:sz w:val="22"/>
          <w:szCs w:val="22"/>
        </w:rPr>
        <w:t xml:space="preserve"> occurring within five years of each other and their directionality.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1D711A" w:rsidRPr="00DB6D77" w:rsidRDefault="00E20A44" w:rsidP="001D711A">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Pr="00DB6D77">
        <w:rPr>
          <w:rFonts w:ascii="Roboto" w:hAnsi="Roboto"/>
          <w:sz w:val="22"/>
          <w:szCs w:val="22"/>
        </w:rPr>
        <w:t xml:space="preserve">of patients included in 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followed at 13 international, high-volume, expert HCM centers. Aggregated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demographic data, genetic profiles, clinical phenotypes, and longitudinal, prospective assessment of outcomes as previously described.</w:t>
      </w:r>
      <w:r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9</w:t>
      </w:r>
      <w:r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r w:rsidRPr="00DB6D77">
        <w:rPr>
          <w:rFonts w:ascii="Roboto" w:hAnsi="Roboto"/>
          <w:sz w:val="22"/>
          <w:szCs w:val="22"/>
        </w:rPr>
        <w:t xml:space="preserve">Due to </w:t>
      </w:r>
      <w:r w:rsidR="001D711A" w:rsidRPr="00DB6D77">
        <w:rPr>
          <w:rFonts w:ascii="Roboto" w:hAnsi="Roboto"/>
          <w:sz w:val="22"/>
          <w:szCs w:val="22"/>
        </w:rPr>
        <w:t xml:space="preserve">the sensitive nature of the data collected for this study, the data that support the findings of this study are available from the corresponding author upon reasonable request.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Pr="00DB6D77">
        <w:rPr>
          <w:rFonts w:ascii="Roboto" w:hAnsi="Roboto"/>
          <w:sz w:val="22"/>
          <w:szCs w:val="22"/>
        </w:rPr>
        <w:t>in whom genetic screening had either identified patients as carriers of a</w:t>
      </w:r>
      <w:r w:rsidR="001D711A" w:rsidRPr="00DB6D77">
        <w:rPr>
          <w:rFonts w:ascii="Roboto" w:hAnsi="Roboto"/>
          <w:sz w:val="22"/>
          <w:szCs w:val="22"/>
        </w:rPr>
        <w:t xml:space="preserve"> 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001D711A" w:rsidRPr="00DB6D77">
        <w:rPr>
          <w:rFonts w:ascii="Roboto" w:hAnsi="Roboto"/>
          <w:sz w:val="22"/>
          <w:szCs w:val="22"/>
        </w:rPr>
        <w:t>,</w:t>
      </w:r>
      <w:r w:rsidRPr="00DB6D77">
        <w:rPr>
          <w:rFonts w:ascii="Roboto" w:hAnsi="Roboto"/>
          <w:sz w:val="22"/>
          <w:szCs w:val="22"/>
        </w:rPr>
        <w:t xml:space="preserve"> or in whom genetic screening did not identify a variant in these genes. Patients in whom genetic testing had not been performed, or who carried a variant of uncertain significance were excluded from the study.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designated as having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while patients without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E20A44" w:rsidRPr="00DB6D77" w:rsidRDefault="001D711A" w:rsidP="001D711A">
      <w:pPr>
        <w:spacing w:line="480" w:lineRule="auto"/>
        <w:rPr>
          <w:rFonts w:ascii="Roboto" w:hAnsi="Roboto"/>
          <w:b/>
          <w:bCs/>
          <w:i/>
          <w:iCs/>
          <w:sz w:val="22"/>
          <w:szCs w:val="22"/>
        </w:rPr>
      </w:pPr>
      <w:r w:rsidRPr="00DB6D77">
        <w:rPr>
          <w:rFonts w:ascii="Roboto" w:hAnsi="Roboto"/>
          <w:b/>
          <w:bCs/>
          <w:i/>
          <w:iCs/>
          <w:sz w:val="22"/>
          <w:szCs w:val="22"/>
        </w:rPr>
        <w:t xml:space="preserve">Clinical Outcomes: </w:t>
      </w:r>
    </w:p>
    <w:p w:rsidR="001D711A" w:rsidRPr="00DB6D77" w:rsidRDefault="00E20A44" w:rsidP="001D711A">
      <w:pPr>
        <w:spacing w:line="480" w:lineRule="auto"/>
        <w:rPr>
          <w:rFonts w:ascii="Roboto" w:hAnsi="Roboto"/>
          <w:sz w:val="22"/>
          <w:szCs w:val="22"/>
        </w:rPr>
      </w:pPr>
      <w:r w:rsidRPr="00DB6D77">
        <w:rPr>
          <w:rFonts w:ascii="Roboto" w:hAnsi="Roboto"/>
          <w:sz w:val="22"/>
          <w:szCs w:val="22"/>
        </w:rPr>
        <w:t>D</w:t>
      </w:r>
    </w:p>
    <w:p w:rsidR="0039001D" w:rsidRDefault="001D711A" w:rsidP="001D711A">
      <w:pPr>
        <w:spacing w:line="480" w:lineRule="auto"/>
        <w:rPr>
          <w:rFonts w:ascii="Roboto" w:hAnsi="Roboto"/>
          <w:sz w:val="22"/>
          <w:szCs w:val="22"/>
          <w:lang w:val="en-GB"/>
        </w:rPr>
      </w:pPr>
      <w:r w:rsidRPr="00DB6D77">
        <w:rPr>
          <w:rFonts w:ascii="Roboto" w:hAnsi="Roboto"/>
          <w:b/>
          <w:bCs/>
          <w:i/>
          <w:iCs/>
          <w:sz w:val="22"/>
          <w:szCs w:val="22"/>
        </w:rPr>
        <w:t>Statistical Analyses</w:t>
      </w:r>
      <w:r w:rsidRPr="00DB6D77">
        <w:rPr>
          <w:rFonts w:ascii="Roboto" w:hAnsi="Roboto"/>
          <w:b/>
          <w:sz w:val="22"/>
          <w:szCs w:val="22"/>
        </w:rPr>
        <w:t xml:space="preserve">: </w:t>
      </w: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w:t>
      </w:r>
      <w:r w:rsidRPr="00DB6D77">
        <w:rPr>
          <w:rFonts w:ascii="Roboto" w:hAnsi="Roboto"/>
          <w:sz w:val="22"/>
          <w:szCs w:val="22"/>
        </w:rPr>
        <w:lastRenderedPageBreak/>
        <w:t xml:space="preserve">variables are presented as counts and percentages. Between group comparisons were evaluated statistically using Welch’s t-test, Wilcoxon rank sum test, Fisher’s exact test or Chi-square tests as appropriate. </w:t>
      </w:r>
      <w:bookmarkStart w:id="2" w:name="_Hlk121990694"/>
      <w:r w:rsidRPr="00DB6D77">
        <w:rPr>
          <w:rFonts w:ascii="Roboto" w:hAnsi="Roboto"/>
          <w:sz w:val="22"/>
          <w:szCs w:val="22"/>
        </w:rPr>
        <w:t xml:space="preserve">Time-to-event analysis was performed to evaluate timing of </w:t>
      </w:r>
      <w:r w:rsidR="00E20A44" w:rsidRPr="00DB6D77">
        <w:rPr>
          <w:rFonts w:ascii="Roboto" w:hAnsi="Roboto"/>
          <w:sz w:val="22"/>
          <w:szCs w:val="22"/>
        </w:rPr>
        <w:t>events</w:t>
      </w:r>
      <w:r w:rsidRPr="00DB6D77">
        <w:rPr>
          <w:rFonts w:ascii="Roboto" w:hAnsi="Roboto"/>
          <w:sz w:val="22"/>
          <w:szCs w:val="22"/>
        </w:rPr>
        <w:t xml:space="preserve">. </w:t>
      </w:r>
      <w:bookmarkEnd w:id="2"/>
      <w:r w:rsidRPr="00DB6D77">
        <w:rPr>
          <w:rFonts w:ascii="Roboto" w:hAnsi="Roboto"/>
          <w:sz w:val="22"/>
          <w:szCs w:val="22"/>
        </w:rPr>
        <w:t xml:space="preserve">Time-to-event analyses included use of the Kaplan-Meier method and cumulative incidence function to evaluate event-free survival/cumulative incidence of events and (multivariable) Cox proportional hazards modelling was performed to evaluate the association of baseline variables on the rate of/timing of the event(s) of interest. Cox regression results are reported using adjusted hazard ratios (HR), from multivariable analyses. We confirmed the proportional hazards assumption was met by scaled Schoenfeld residuals with time. When modelling the composite outcome, </w:t>
      </w:r>
      <w:r w:rsidR="00E20A44" w:rsidRPr="00DB6D77">
        <w:rPr>
          <w:rFonts w:ascii="Roboto" w:hAnsi="Roboto"/>
          <w:sz w:val="22"/>
          <w:szCs w:val="22"/>
        </w:rPr>
        <w:t>XXX</w:t>
      </w:r>
      <w:r w:rsidRPr="00DB6D77">
        <w:rPr>
          <w:rFonts w:ascii="Roboto" w:hAnsi="Roboto"/>
          <w:sz w:val="22"/>
          <w:szCs w:val="22"/>
        </w:rPr>
        <w:t xml:space="preserve"> were evaluated as time-varying covariates. Age-specific </w:t>
      </w:r>
      <w:r w:rsidRPr="00DB6D77">
        <w:rPr>
          <w:rFonts w:ascii="Roboto" w:hAnsi="Roboto"/>
          <w:sz w:val="22"/>
          <w:szCs w:val="22"/>
          <w:lang w:val="en-GB"/>
        </w:rPr>
        <w:t xml:space="preserve">incidence-rates of </w:t>
      </w:r>
      <w:r w:rsidR="0039001D">
        <w:rPr>
          <w:rFonts w:ascii="Roboto" w:hAnsi="Roboto"/>
          <w:sz w:val="22"/>
          <w:szCs w:val="22"/>
          <w:lang w:val="en-GB"/>
        </w:rPr>
        <w:t>atrial fibrillation and LV outflow tract obstruction</w:t>
      </w:r>
      <w:r w:rsidRPr="00DB6D77">
        <w:rPr>
          <w:rFonts w:ascii="Roboto" w:hAnsi="Roboto"/>
          <w:sz w:val="22"/>
          <w:szCs w:val="22"/>
          <w:lang w:val="en-GB"/>
        </w:rPr>
        <w:t xml:space="preserve"> in patients with HCM were calculated according to </w:t>
      </w:r>
      <w:r w:rsidR="00E20A44" w:rsidRPr="00DB6D77">
        <w:rPr>
          <w:rFonts w:ascii="Roboto" w:hAnsi="Roboto"/>
          <w:sz w:val="22"/>
          <w:szCs w:val="22"/>
          <w:lang w:val="en-GB"/>
        </w:rPr>
        <w:t>genetic status</w:t>
      </w:r>
      <w:r w:rsidRPr="00DB6D77">
        <w:rPr>
          <w:rFonts w:ascii="Roboto" w:hAnsi="Roboto"/>
          <w:sz w:val="22"/>
          <w:szCs w:val="22"/>
          <w:lang w:val="en-GB"/>
        </w:rPr>
        <w:t xml:space="preserve">. Age-specific incidence rates were reported according to </w:t>
      </w:r>
      <w:r w:rsidR="0039001D">
        <w:rPr>
          <w:rFonts w:ascii="Roboto" w:hAnsi="Roboto"/>
          <w:sz w:val="22"/>
          <w:szCs w:val="22"/>
          <w:lang w:val="en-GB"/>
        </w:rPr>
        <w:t>five</w:t>
      </w:r>
      <w:r w:rsidRPr="00DB6D77">
        <w:rPr>
          <w:rFonts w:ascii="Roboto" w:hAnsi="Roboto"/>
          <w:sz w:val="22"/>
          <w:szCs w:val="22"/>
          <w:lang w:val="en-GB"/>
        </w:rPr>
        <w:t xml:space="preserve"> age groups</w:t>
      </w:r>
      <w:r w:rsidR="00E20A44" w:rsidRPr="00DB6D77">
        <w:rPr>
          <w:rFonts w:ascii="Roboto" w:hAnsi="Roboto"/>
          <w:sz w:val="22"/>
          <w:szCs w:val="22"/>
          <w:lang w:val="en-GB"/>
        </w:rPr>
        <w:t xml:space="preserve"> (X-X</w:t>
      </w:r>
      <w:r w:rsidRPr="00DB6D77">
        <w:rPr>
          <w:rFonts w:ascii="Roboto" w:hAnsi="Roboto"/>
          <w:sz w:val="22"/>
          <w:szCs w:val="22"/>
          <w:lang w:val="en-GB"/>
        </w:rPr>
        <w:t xml:space="preserve"> years of age)</w:t>
      </w:r>
      <w:r w:rsidR="0039001D">
        <w:rPr>
          <w:rFonts w:ascii="Roboto" w:hAnsi="Roboto"/>
          <w:sz w:val="22"/>
          <w:szCs w:val="22"/>
          <w:lang w:val="en-GB"/>
        </w:rPr>
        <w:t xml:space="preserve"> approximately corresponding to the distribution of age in quintiles of the </w:t>
      </w:r>
      <w:proofErr w:type="spellStart"/>
      <w:r w:rsidR="0039001D">
        <w:rPr>
          <w:rFonts w:ascii="Roboto" w:hAnsi="Roboto"/>
          <w:sz w:val="22"/>
          <w:szCs w:val="22"/>
          <w:lang w:val="en-GB"/>
        </w:rPr>
        <w:t>SHaRe</w:t>
      </w:r>
      <w:proofErr w:type="spellEnd"/>
      <w:r w:rsidR="0039001D">
        <w:rPr>
          <w:rFonts w:ascii="Roboto" w:hAnsi="Roboto"/>
          <w:sz w:val="22"/>
          <w:szCs w:val="22"/>
          <w:lang w:val="en-GB"/>
        </w:rPr>
        <w:t xml:space="preserve"> cohort</w:t>
      </w:r>
      <w:r w:rsidRPr="00DB6D77">
        <w:rPr>
          <w:rFonts w:ascii="Roboto" w:hAnsi="Roboto"/>
          <w:sz w:val="22"/>
          <w:szCs w:val="22"/>
          <w:lang w:val="en-GB"/>
        </w:rPr>
        <w:t xml:space="preserve">. </w:t>
      </w:r>
      <w:r w:rsidR="0039001D">
        <w:rPr>
          <w:rFonts w:ascii="Roboto" w:hAnsi="Roboto"/>
          <w:sz w:val="22"/>
          <w:szCs w:val="22"/>
          <w:lang w:val="en-GB"/>
        </w:rPr>
        <w:t>To</w:t>
      </w:r>
      <w:r w:rsidRPr="00DB6D77">
        <w:rPr>
          <w:rFonts w:ascii="Roboto" w:hAnsi="Roboto"/>
          <w:sz w:val="22"/>
          <w:szCs w:val="22"/>
          <w:lang w:val="en-GB"/>
        </w:rPr>
        <w:t xml:space="preserve"> compar</w:t>
      </w:r>
      <w:r w:rsidR="0039001D">
        <w:rPr>
          <w:rFonts w:ascii="Roboto" w:hAnsi="Roboto"/>
          <w:sz w:val="22"/>
          <w:szCs w:val="22"/>
          <w:lang w:val="en-GB"/>
        </w:rPr>
        <w:t>e</w:t>
      </w:r>
      <w:r w:rsidRPr="00DB6D77">
        <w:rPr>
          <w:rFonts w:ascii="Roboto" w:hAnsi="Roboto"/>
          <w:sz w:val="22"/>
          <w:szCs w:val="22"/>
          <w:lang w:val="en-GB"/>
        </w:rPr>
        <w:t xml:space="preserve"> the overall incidence of </w:t>
      </w:r>
      <w:r w:rsidR="0039001D">
        <w:rPr>
          <w:rFonts w:ascii="Roboto" w:hAnsi="Roboto"/>
          <w:sz w:val="22"/>
          <w:szCs w:val="22"/>
          <w:lang w:val="en-GB"/>
        </w:rPr>
        <w:t>atrial fibrillation and LV outflow tract obstruction</w:t>
      </w:r>
      <w:r w:rsidRPr="00DB6D77">
        <w:rPr>
          <w:rFonts w:ascii="Roboto" w:hAnsi="Roboto"/>
          <w:sz w:val="22"/>
          <w:szCs w:val="22"/>
          <w:lang w:val="en-GB"/>
        </w:rPr>
        <w:t xml:space="preserve"> between patients with </w:t>
      </w:r>
      <w:proofErr w:type="spellStart"/>
      <w:r w:rsidR="0039001D">
        <w:rPr>
          <w:rFonts w:ascii="Roboto" w:hAnsi="Roboto"/>
          <w:sz w:val="22"/>
          <w:szCs w:val="22"/>
          <w:lang w:val="en-GB"/>
        </w:rPr>
        <w:t>sarcomeric</w:t>
      </w:r>
      <w:proofErr w:type="spellEnd"/>
      <w:r w:rsidR="0039001D">
        <w:rPr>
          <w:rFonts w:ascii="Roboto" w:hAnsi="Roboto"/>
          <w:sz w:val="22"/>
          <w:szCs w:val="22"/>
          <w:lang w:val="en-GB"/>
        </w:rPr>
        <w:t xml:space="preserve"> to non-</w:t>
      </w:r>
      <w:proofErr w:type="spellStart"/>
      <w:r w:rsidR="0039001D">
        <w:rPr>
          <w:rFonts w:ascii="Roboto" w:hAnsi="Roboto"/>
          <w:sz w:val="22"/>
          <w:szCs w:val="22"/>
          <w:lang w:val="en-GB"/>
        </w:rPr>
        <w:t>sarcomeric</w:t>
      </w:r>
      <w:proofErr w:type="spellEnd"/>
      <w:r w:rsidR="0039001D">
        <w:rPr>
          <w:rFonts w:ascii="Roboto" w:hAnsi="Roboto"/>
          <w:sz w:val="22"/>
          <w:szCs w:val="22"/>
          <w:lang w:val="en-GB"/>
        </w:rPr>
        <w:t xml:space="preserve"> HCM</w:t>
      </w:r>
      <w:r w:rsidRPr="00DB6D77">
        <w:rPr>
          <w:rFonts w:ascii="Roboto" w:hAnsi="Roboto"/>
          <w:sz w:val="22"/>
          <w:szCs w:val="22"/>
          <w:lang w:val="en-GB"/>
        </w:rPr>
        <w:t>, age-standardization between the groups was performed</w:t>
      </w:r>
      <w:r w:rsidR="0039001D">
        <w:rPr>
          <w:rFonts w:ascii="Roboto" w:hAnsi="Roboto"/>
          <w:sz w:val="22"/>
          <w:szCs w:val="22"/>
          <w:lang w:val="en-GB"/>
        </w:rPr>
        <w:t>. The age distribution at the time if inclusion in the overall cohort used as the reference population</w:t>
      </w:r>
      <w:r w:rsidRPr="00DB6D77">
        <w:rPr>
          <w:rFonts w:ascii="Roboto" w:hAnsi="Roboto"/>
          <w:sz w:val="22"/>
          <w:szCs w:val="22"/>
          <w:lang w:val="en-GB"/>
        </w:rPr>
        <w:t>.</w:t>
      </w:r>
      <w:r w:rsidR="0039001D">
        <w:rPr>
          <w:rFonts w:ascii="Roboto" w:hAnsi="Roboto"/>
          <w:sz w:val="22"/>
          <w:szCs w:val="22"/>
          <w:lang w:val="en-GB"/>
        </w:rPr>
        <w:t xml:space="preserve"> Additionally, a standardized incidence ratio was calculated for each age-group and for the age-standardized incidence.</w:t>
      </w:r>
    </w:p>
    <w:p w:rsidR="001D711A" w:rsidRPr="00DB6D77" w:rsidRDefault="001D711A" w:rsidP="001D711A">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The code for statistical analysis and creating figures can be found on </w:t>
      </w:r>
      <w:r w:rsidR="0099298A" w:rsidRPr="0099298A">
        <w:rPr>
          <w:rFonts w:ascii="Roboto" w:hAnsi="Roboto"/>
          <w:sz w:val="22"/>
          <w:szCs w:val="22"/>
          <w:lang w:val="en-GB"/>
        </w:rPr>
        <w:t>https://github.com/christoffervi/sarc_nonsarc</w:t>
      </w:r>
      <w:r w:rsidRPr="00DB6D77">
        <w:rPr>
          <w:rFonts w:ascii="Roboto" w:hAnsi="Roboto"/>
          <w:sz w:val="22"/>
          <w:szCs w:val="22"/>
          <w:lang w:val="en-GB"/>
        </w:rPr>
        <w:t>.</w:t>
      </w:r>
    </w:p>
    <w:p w:rsidR="001D711A" w:rsidRPr="00DB6D77" w:rsidRDefault="001D711A" w:rsidP="001D711A">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Notably, the median age at HCM diagnosis was markedly higher in non-</w:t>
      </w:r>
      <w:proofErr w:type="spellStart"/>
      <w:r w:rsidR="00BF182A" w:rsidRPr="00DB6D77">
        <w:rPr>
          <w:rFonts w:ascii="Roboto" w:hAnsi="Roboto"/>
          <w:sz w:val="22"/>
          <w:szCs w:val="22"/>
        </w:rPr>
        <w:t>sarcomeric</w:t>
      </w:r>
      <w:proofErr w:type="spellEnd"/>
      <w:r w:rsidR="00BF182A" w:rsidRPr="00DB6D77">
        <w:rPr>
          <w:rFonts w:ascii="Roboto" w:hAnsi="Roboto"/>
          <w:sz w:val="22"/>
          <w:szCs w:val="22"/>
        </w:rPr>
        <w:t xml:space="preserve"> vs </w:t>
      </w:r>
      <w:proofErr w:type="spellStart"/>
      <w:r w:rsidR="00BF182A" w:rsidRPr="00DB6D77">
        <w:rPr>
          <w:rFonts w:ascii="Roboto" w:hAnsi="Roboto"/>
          <w:sz w:val="22"/>
          <w:szCs w:val="22"/>
        </w:rPr>
        <w:t>sarcomeric</w:t>
      </w:r>
      <w:proofErr w:type="spellEnd"/>
      <w:r w:rsidR="00BF182A" w:rsidRPr="00DB6D77">
        <w:rPr>
          <w:rFonts w:ascii="Roboto" w:hAnsi="Roboto"/>
          <w:sz w:val="22"/>
          <w:szCs w:val="22"/>
        </w:rPr>
        <w:t xml:space="preserve"> HCM (median age 49.6</w:t>
      </w:r>
      <w:r w:rsidR="00556B72" w:rsidRPr="00DB6D77">
        <w:rPr>
          <w:rFonts w:ascii="Roboto" w:hAnsi="Roboto"/>
          <w:sz w:val="22"/>
          <w:szCs w:val="22"/>
        </w:rPr>
        <w:t xml:space="preserve"> vs</w:t>
      </w:r>
      <w:r w:rsidR="00556B72">
        <w:rPr>
          <w:rFonts w:ascii="Roboto" w:hAnsi="Roboto"/>
          <w:sz w:val="22"/>
          <w:szCs w:val="22"/>
        </w:rPr>
        <w:t xml:space="preserve"> </w:t>
      </w:r>
      <w:r w:rsidR="00556B72" w:rsidRPr="00DB6D77">
        <w:rPr>
          <w:rFonts w:ascii="Roboto" w:hAnsi="Roboto"/>
          <w:sz w:val="22"/>
          <w:szCs w:val="22"/>
        </w:rPr>
        <w:t>36.7</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580470" w:rsidRPr="00DB6D77" w:rsidRDefault="00CA4002" w:rsidP="001D711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p>
    <w:p w:rsidR="001B3DE8" w:rsidRDefault="001B3DE8" w:rsidP="00BF182A">
      <w:pPr>
        <w:spacing w:line="480" w:lineRule="auto"/>
        <w:rPr>
          <w:rFonts w:ascii="Roboto" w:hAnsi="Roboto"/>
          <w:b/>
          <w:bCs/>
          <w:sz w:val="22"/>
          <w:szCs w:val="22"/>
        </w:rPr>
      </w:pP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lastRenderedPageBreak/>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580470" w:rsidRPr="00DB6D77">
        <w:rPr>
          <w:rFonts w:ascii="Roboto" w:hAnsi="Roboto"/>
          <w:sz w:val="22"/>
          <w:szCs w:val="22"/>
        </w:rPr>
        <w:t xml:space="preserve"> and</w:t>
      </w:r>
      <w:r w:rsidR="00BF182A" w:rsidRPr="00DB6D77">
        <w:rPr>
          <w:rFonts w:ascii="Roboto" w:hAnsi="Roboto"/>
          <w:sz w:val="22"/>
          <w:szCs w:val="22"/>
        </w:rPr>
        <w:t xml:space="preserve"> atrial fibrillation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580470" w:rsidRPr="00DB6D77"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w:t>
      </w:r>
      <w:r w:rsidRPr="00DB6D77">
        <w:rPr>
          <w:rFonts w:ascii="Roboto" w:hAnsi="Roboto"/>
          <w:sz w:val="22"/>
          <w:szCs w:val="22"/>
        </w:rPr>
        <w:lastRenderedPageBreak/>
        <w:t xml:space="preserve">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 (hypertension,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occurrence and timing of these </w:t>
      </w:r>
      <w:r w:rsidR="00D5141C">
        <w:rPr>
          <w:rFonts w:ascii="Roboto" w:hAnsi="Roboto"/>
          <w:sz w:val="22"/>
          <w:szCs w:val="22"/>
        </w:rPr>
        <w:t>features</w:t>
      </w:r>
      <w:r w:rsidR="00DB6D77" w:rsidRPr="00DB6D77">
        <w:rPr>
          <w:rFonts w:ascii="Roboto" w:hAnsi="Roboto"/>
          <w:sz w:val="22"/>
          <w:szCs w:val="22"/>
        </w:rPr>
        <w:t xml:space="preserve"> relative to </w:t>
      </w:r>
      <w:r>
        <w:rPr>
          <w:rFonts w:ascii="Roboto" w:hAnsi="Roboto"/>
          <w:sz w:val="22"/>
          <w:szCs w:val="22"/>
        </w:rPr>
        <w:t>the occurrence of other</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(rank) </w:t>
      </w:r>
      <w:r w:rsidR="00F15144">
        <w:rPr>
          <w:rFonts w:ascii="Roboto" w:hAnsi="Roboto"/>
          <w:sz w:val="22"/>
          <w:szCs w:val="22"/>
        </w:rPr>
        <w:t>if</w:t>
      </w:r>
      <w:r w:rsidR="00DB6D77" w:rsidRPr="00DB6D77">
        <w:rPr>
          <w:rFonts w:ascii="Roboto" w:hAnsi="Roboto"/>
          <w:sz w:val="22"/>
          <w:szCs w:val="22"/>
        </w:rPr>
        <w:t xml:space="preserve"> patient</w:t>
      </w:r>
      <w:r>
        <w:rPr>
          <w:rFonts w:ascii="Roboto" w:hAnsi="Roboto"/>
          <w:sz w:val="22"/>
          <w:szCs w:val="22"/>
        </w:rPr>
        <w:t xml:space="preserve">s had multiple </w:t>
      </w:r>
      <w:r w:rsidR="00D5141C">
        <w:rPr>
          <w:rFonts w:ascii="Roboto" w:hAnsi="Roboto"/>
          <w:sz w:val="22"/>
          <w:szCs w:val="22"/>
        </w:rPr>
        <w:t>features</w:t>
      </w:r>
      <w:r w:rsidR="00DB6D77" w:rsidRPr="00DB6D77">
        <w:rPr>
          <w:rFonts w:ascii="Roboto" w:hAnsi="Roboto"/>
          <w:sz w:val="22"/>
          <w:szCs w:val="22"/>
        </w:rPr>
        <w:t xml:space="preserve">.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had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at least six </w:t>
      </w:r>
      <w:r w:rsidR="00D5141C">
        <w:rPr>
          <w:rFonts w:ascii="Roboto" w:hAnsi="Roboto"/>
          <w:sz w:val="22"/>
          <w:szCs w:val="22"/>
        </w:rPr>
        <w:t>features</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each of these 12 features,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(set to 0 if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atrial fibrillation, ventricular tachycardias</w:t>
      </w:r>
      <w:r w:rsidR="00BE2D5C">
        <w:rPr>
          <w:rFonts w:ascii="Roboto" w:hAnsi="Roboto"/>
          <w:sz w:val="22"/>
          <w:szCs w:val="22"/>
        </w:rPr>
        <w:t>, LV systolic dysfunction and cardiac transplantation to be more common occurrences during</w:t>
      </w:r>
      <w:r w:rsidR="0018036F">
        <w:rPr>
          <w:rFonts w:ascii="Roboto" w:hAnsi="Roboto"/>
          <w:sz w:val="22"/>
          <w:szCs w:val="22"/>
        </w:rPr>
        <w:t xml:space="preserve"> long-term</w:t>
      </w:r>
      <w:r w:rsidR="00BE2D5C">
        <w:rPr>
          <w:rFonts w:ascii="Roboto" w:hAnsi="Roboto"/>
          <w:sz w:val="22"/>
          <w:szCs w:val="22"/>
        </w:rPr>
        <w:t xml:space="preserve"> follow-up in patients with </w:t>
      </w:r>
      <w:proofErr w:type="spellStart"/>
      <w:r w:rsidR="00BE2D5C">
        <w:rPr>
          <w:rFonts w:ascii="Roboto" w:hAnsi="Roboto"/>
          <w:sz w:val="22"/>
          <w:szCs w:val="22"/>
        </w:rPr>
        <w:t>sarcomeric</w:t>
      </w:r>
      <w:proofErr w:type="spellEnd"/>
      <w:r w:rsidR="00BE2D5C">
        <w:rPr>
          <w:rFonts w:ascii="Roboto" w:hAnsi="Roboto"/>
          <w:sz w:val="22"/>
          <w:szCs w:val="22"/>
        </w:rPr>
        <w:t xml:space="preserve"> HCM when compared to patients with non-</w:t>
      </w:r>
      <w:proofErr w:type="spellStart"/>
      <w:r w:rsidR="00BE2D5C">
        <w:rPr>
          <w:rFonts w:ascii="Roboto" w:hAnsi="Roboto"/>
          <w:sz w:val="22"/>
          <w:szCs w:val="22"/>
        </w:rPr>
        <w:t>sarcomeric</w:t>
      </w:r>
      <w:proofErr w:type="spellEnd"/>
      <w:r w:rsidR="00BE2D5C">
        <w:rPr>
          <w:rFonts w:ascii="Roboto" w:hAnsi="Roboto"/>
          <w:sz w:val="22"/>
          <w:szCs w:val="22"/>
        </w:rPr>
        <w:t xml:space="preserve"> HCM (</w:t>
      </w:r>
      <w:r w:rsidR="00BE2D5C">
        <w:rPr>
          <w:rFonts w:ascii="Roboto" w:hAnsi="Roboto"/>
          <w:b/>
          <w:bCs/>
          <w:sz w:val="22"/>
          <w:szCs w:val="22"/>
        </w:rPr>
        <w:t>Supplementary F</w:t>
      </w:r>
      <w:r w:rsidR="00BE2D5C" w:rsidRPr="00DB6D77">
        <w:rPr>
          <w:rFonts w:ascii="Roboto" w:hAnsi="Roboto"/>
          <w:b/>
          <w:bCs/>
          <w:sz w:val="22"/>
          <w:szCs w:val="22"/>
        </w:rPr>
        <w:t xml:space="preserve">igure </w:t>
      </w:r>
      <w:r w:rsidR="00BE2D5C">
        <w:rPr>
          <w:rFonts w:ascii="Roboto" w:hAnsi="Roboto"/>
          <w:b/>
          <w:bCs/>
          <w:sz w:val="22"/>
          <w:szCs w:val="22"/>
        </w:rPr>
        <w:t>3</w:t>
      </w:r>
      <w:r w:rsidR="0018036F">
        <w:rPr>
          <w:rFonts w:ascii="Roboto" w:hAnsi="Roboto"/>
          <w:sz w:val="22"/>
          <w:szCs w:val="22"/>
        </w:rPr>
        <w:t>, visualizes the relative difference</w:t>
      </w:r>
      <w:r w:rsidR="00BE2D5C">
        <w:rPr>
          <w:rFonts w:ascii="Roboto" w:hAnsi="Roboto"/>
          <w:sz w:val="22"/>
          <w:szCs w:val="22"/>
        </w:rPr>
        <w:t>).</w:t>
      </w:r>
    </w:p>
    <w:p w:rsidR="00D5141C" w:rsidRDefault="00D5141C" w:rsidP="00DB6D77">
      <w:pPr>
        <w:spacing w:line="480" w:lineRule="auto"/>
        <w:rPr>
          <w:rFonts w:ascii="Roboto" w:hAnsi="Roboto"/>
          <w:sz w:val="22"/>
          <w:szCs w:val="22"/>
        </w:rPr>
      </w:pPr>
    </w:p>
    <w:p w:rsidR="00D5141C" w:rsidRDefault="00D5141C"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lastRenderedPageBreak/>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sequence.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outcomes,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but did not seem to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proofErr w:type="spellStart"/>
      <w:r w:rsidR="0090368F">
        <w:rPr>
          <w:rFonts w:ascii="Roboto" w:hAnsi="Roboto"/>
          <w:sz w:val="22"/>
          <w:szCs w:val="22"/>
        </w:rPr>
        <w:t>adjustement</w:t>
      </w:r>
      <w:proofErr w:type="spellEnd"/>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DF1022" w:rsidRDefault="00DF1022" w:rsidP="007401B1">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outcome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 xml:space="preserve">. </w:t>
      </w:r>
    </w:p>
    <w:p w:rsidR="00DB6D77" w:rsidRPr="00DB6D77" w:rsidRDefault="00FB109B" w:rsidP="007401B1">
      <w:pPr>
        <w:spacing w:line="480" w:lineRule="auto"/>
        <w:rPr>
          <w:rFonts w:ascii="Roboto" w:hAnsi="Roboto"/>
          <w:sz w:val="22"/>
          <w:szCs w:val="22"/>
        </w:rPr>
      </w:pPr>
      <w:r>
        <w:rPr>
          <w:rFonts w:ascii="Roboto" w:hAnsi="Roboto"/>
          <w:sz w:val="22"/>
          <w:szCs w:val="22"/>
        </w:rPr>
        <w:t xml:space="preserve">Four directional outcome pairs were among the 10 most common outcome pairs in both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(obstruction leading to septal reduction therapy, severe dyspnea leading to septal reduction therapy, non-sustained VT leading to ICD implantation and </w:t>
      </w:r>
      <w:r>
        <w:rPr>
          <w:rFonts w:ascii="Roboto" w:hAnsi="Roboto"/>
          <w:sz w:val="22"/>
          <w:szCs w:val="22"/>
        </w:rPr>
        <w:lastRenderedPageBreak/>
        <w:t>obstruction leading to non-sustained VT). For patients with non-</w:t>
      </w:r>
      <w:proofErr w:type="spellStart"/>
      <w:r>
        <w:rPr>
          <w:rFonts w:ascii="Roboto" w:hAnsi="Roboto"/>
          <w:sz w:val="22"/>
          <w:szCs w:val="22"/>
        </w:rPr>
        <w:t>sarcomeric</w:t>
      </w:r>
      <w:proofErr w:type="spellEnd"/>
      <w:r>
        <w:rPr>
          <w:rFonts w:ascii="Roboto" w:hAnsi="Roboto"/>
          <w:sz w:val="22"/>
          <w:szCs w:val="22"/>
        </w:rPr>
        <w:t xml:space="preserve"> HCM, the remaining six </w:t>
      </w:r>
      <w:r w:rsidR="00DF1022">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sidR="00DF1022">
        <w:rPr>
          <w:rFonts w:ascii="Roboto" w:hAnsi="Roboto"/>
          <w:sz w:val="22"/>
          <w:szCs w:val="22"/>
        </w:rPr>
        <w:t xml:space="preserve"> or ICD-implantation were observed </w:t>
      </w:r>
      <w:r w:rsidR="003E33A6">
        <w:rPr>
          <w:rFonts w:ascii="Roboto" w:hAnsi="Roboto"/>
          <w:sz w:val="22"/>
          <w:szCs w:val="22"/>
        </w:rPr>
        <w:t>in</w:t>
      </w:r>
      <w:r w:rsidR="00DF1022">
        <w:rPr>
          <w:rFonts w:ascii="Roboto" w:hAnsi="Roboto"/>
          <w:sz w:val="22"/>
          <w:szCs w:val="22"/>
        </w:rPr>
        <w:t xml:space="preserve"> patients with </w:t>
      </w:r>
      <w:proofErr w:type="spellStart"/>
      <w:r w:rsidR="00DF1022">
        <w:rPr>
          <w:rFonts w:ascii="Roboto" w:hAnsi="Roboto"/>
          <w:sz w:val="22"/>
          <w:szCs w:val="22"/>
        </w:rPr>
        <w:t>sarcomeric</w:t>
      </w:r>
      <w:proofErr w:type="spellEnd"/>
      <w:r w:rsidR="00DF1022">
        <w:rPr>
          <w:rFonts w:ascii="Roboto" w:hAnsi="Roboto"/>
          <w:sz w:val="22"/>
          <w:szCs w:val="22"/>
        </w:rPr>
        <w:t xml:space="preserve"> HCM.</w:t>
      </w:r>
    </w:p>
    <w:p w:rsidR="00711E23" w:rsidRPr="00DB6D77" w:rsidRDefault="004E262F" w:rsidP="001D711A">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the </w:t>
      </w:r>
      <w:r w:rsidR="00711E23">
        <w:rPr>
          <w:rFonts w:ascii="Roboto" w:hAnsi="Roboto"/>
          <w:sz w:val="22"/>
          <w:szCs w:val="22"/>
        </w:rPr>
        <w:t xml:space="preserve">We identified 3,579 event-triplets, comprising 832 unique event-combinations. </w:t>
      </w:r>
    </w:p>
    <w:p w:rsidR="00BA44FB" w:rsidRPr="00DB6D77" w:rsidRDefault="00BA44FB" w:rsidP="001D711A">
      <w:pPr>
        <w:spacing w:line="480" w:lineRule="auto"/>
        <w:rPr>
          <w:rFonts w:ascii="Roboto" w:hAnsi="Roboto"/>
          <w:sz w:val="22"/>
          <w:szCs w:val="22"/>
        </w:rPr>
      </w:pP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B136D1"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with a particular focus on the trajectories of cardiovascular </w:t>
      </w:r>
      <w:r w:rsidR="00D5141C">
        <w:rPr>
          <w:rFonts w:ascii="Roboto" w:hAnsi="Roboto"/>
          <w:sz w:val="22"/>
          <w:szCs w:val="22"/>
        </w:rPr>
        <w:t>features</w:t>
      </w:r>
      <w:r w:rsidRPr="00DB6D77">
        <w:rPr>
          <w:rFonts w:ascii="Roboto" w:hAnsi="Roboto"/>
          <w:sz w:val="22"/>
          <w:szCs w:val="22"/>
        </w:rPr>
        <w:t xml:space="preserve"> occurring within five years of each other. Our results showed that while both groups shared some clinical characteristics and cardiovascular </w:t>
      </w:r>
      <w:r w:rsidR="00D5141C">
        <w:rPr>
          <w:rFonts w:ascii="Roboto" w:hAnsi="Roboto"/>
          <w:sz w:val="22"/>
          <w:szCs w:val="22"/>
        </w:rPr>
        <w:t>features</w:t>
      </w:r>
      <w:r w:rsidRPr="00DB6D77">
        <w:rPr>
          <w:rFonts w:ascii="Roboto" w:hAnsi="Roboto"/>
          <w:sz w:val="22"/>
          <w:szCs w:val="22"/>
        </w:rPr>
        <w:t xml:space="preserve">, there were notable differences in disease progression and outcomes between the two groups.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BB098E" w:rsidRDefault="00BB098E">
      <w:pPr>
        <w:rPr>
          <w:rFonts w:ascii="Roboto" w:hAnsi="Roboto"/>
          <w:b/>
          <w:bCs/>
          <w:sz w:val="22"/>
          <w:szCs w:val="22"/>
        </w:rPr>
      </w:pPr>
      <w:proofErr w:type="spellStart"/>
      <w:r>
        <w:rPr>
          <w:rFonts w:ascii="Roboto" w:hAnsi="Roboto"/>
          <w:sz w:val="22"/>
          <w:szCs w:val="22"/>
        </w:rPr>
        <w:t>Blabla</w:t>
      </w:r>
      <w:proofErr w:type="spellEnd"/>
      <w:r>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632C1C" w:rsidRPr="00632C1C" w:rsidRDefault="00DB6D77" w:rsidP="00632C1C">
      <w:pPr>
        <w:pStyle w:val="Bibliografi2"/>
        <w:rPr>
          <w:sz w:val="20"/>
          <w:szCs w:val="20"/>
        </w:rPr>
      </w:pPr>
      <w:r w:rsidRPr="00632C1C">
        <w:fldChar w:fldCharType="begin"/>
      </w:r>
      <w:r w:rsidR="00632C1C" w:rsidRPr="00632C1C">
        <w:instrText xml:space="preserve"> ADDIN ZOTERO_BIBL {"uncited":[],"omitted":[],"custom":[]} CSL_BIBLIOGRAPHY </w:instrText>
      </w:r>
      <w:r w:rsidRPr="00632C1C">
        <w:fldChar w:fldCharType="separate"/>
      </w:r>
      <w:r w:rsidR="00632C1C" w:rsidRPr="00632C1C">
        <w:rPr>
          <w:sz w:val="20"/>
          <w:szCs w:val="20"/>
        </w:rPr>
        <w:t xml:space="preserve">1. </w:t>
      </w:r>
      <w:r w:rsidR="00632C1C" w:rsidRPr="00632C1C">
        <w:rPr>
          <w:sz w:val="20"/>
          <w:szCs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632C1C" w:rsidRPr="00632C1C" w:rsidRDefault="00632C1C" w:rsidP="00632C1C">
      <w:pPr>
        <w:pStyle w:val="Bibliografi2"/>
        <w:rPr>
          <w:sz w:val="20"/>
          <w:szCs w:val="20"/>
        </w:rPr>
      </w:pPr>
      <w:r w:rsidRPr="00632C1C">
        <w:rPr>
          <w:sz w:val="20"/>
          <w:szCs w:val="20"/>
        </w:rPr>
        <w:t xml:space="preserve">2. </w:t>
      </w:r>
      <w:r w:rsidRPr="00632C1C">
        <w:rPr>
          <w:sz w:val="20"/>
          <w:szCs w:val="20"/>
        </w:rPr>
        <w:tab/>
        <w:t xml:space="preserve">Ho CY, Charron P, Richard P, Girolami F, Van Spaendonck-Zwarts KY, Pinto Y. Genetic advances in sarcomeric cardiomyopathies: state of the art. </w:t>
      </w:r>
      <w:r w:rsidRPr="00632C1C">
        <w:rPr>
          <w:i/>
          <w:iCs/>
          <w:sz w:val="20"/>
          <w:szCs w:val="20"/>
        </w:rPr>
        <w:t>Cardiovasc. Res.</w:t>
      </w:r>
      <w:r w:rsidRPr="00632C1C">
        <w:rPr>
          <w:sz w:val="20"/>
          <w:szCs w:val="20"/>
        </w:rPr>
        <w:t xml:space="preserve"> 2015;105:397–408. </w:t>
      </w:r>
    </w:p>
    <w:p w:rsidR="00632C1C" w:rsidRPr="00632C1C" w:rsidRDefault="00632C1C" w:rsidP="00632C1C">
      <w:pPr>
        <w:pStyle w:val="Bibliografi2"/>
        <w:rPr>
          <w:sz w:val="20"/>
          <w:szCs w:val="20"/>
        </w:rPr>
      </w:pPr>
      <w:r w:rsidRPr="00632C1C">
        <w:rPr>
          <w:sz w:val="20"/>
          <w:szCs w:val="20"/>
        </w:rPr>
        <w:t xml:space="preserve">3. </w:t>
      </w:r>
      <w:r w:rsidRPr="00632C1C">
        <w:rPr>
          <w:sz w:val="20"/>
          <w:szCs w:val="20"/>
        </w:rPr>
        <w:tab/>
        <w:t xml:space="preserve">Biddinger KJ, Jurgens SJ, Maamari D, Gaziano L, Choi SH, Morrill VN, Halford JL, Khera AV, Lubitz SA, Ellinor PT, et al. Rare and Common Genetic Variation Underlying the Risk of Hypertrophic Cardiomyopathy in a National Biobank. </w:t>
      </w:r>
      <w:r w:rsidRPr="00632C1C">
        <w:rPr>
          <w:i/>
          <w:iCs/>
          <w:sz w:val="20"/>
          <w:szCs w:val="20"/>
        </w:rPr>
        <w:t>JAMA Cardiol.</w:t>
      </w:r>
      <w:r w:rsidRPr="00632C1C">
        <w:rPr>
          <w:sz w:val="20"/>
          <w:szCs w:val="20"/>
        </w:rPr>
        <w:t xml:space="preserve"> 2022;7:715–722. </w:t>
      </w:r>
    </w:p>
    <w:p w:rsidR="00632C1C" w:rsidRPr="00632C1C" w:rsidRDefault="00632C1C" w:rsidP="00632C1C">
      <w:pPr>
        <w:pStyle w:val="Bibliografi2"/>
        <w:rPr>
          <w:sz w:val="20"/>
          <w:szCs w:val="20"/>
        </w:rPr>
      </w:pPr>
      <w:r w:rsidRPr="00632C1C">
        <w:rPr>
          <w:sz w:val="20"/>
          <w:szCs w:val="20"/>
        </w:rPr>
        <w:t xml:space="preserve">4. </w:t>
      </w:r>
      <w:r w:rsidRPr="00632C1C">
        <w:rPr>
          <w:sz w:val="20"/>
          <w:szCs w:val="20"/>
        </w:rPr>
        <w:tab/>
        <w:t xml:space="preserve">Repetti GG, Kim Y, Pereira AC, Ingles J, Russell MW, Lakdawala NK, Ho CY, Day S, Semsarian C, McDonough B, et al. Discordant clinical features of identical hypertrophic cardiomyopathy twins. </w:t>
      </w:r>
      <w:r w:rsidRPr="00632C1C">
        <w:rPr>
          <w:i/>
          <w:iCs/>
          <w:sz w:val="20"/>
          <w:szCs w:val="20"/>
        </w:rPr>
        <w:t>Proc. Natl. Acad. Sci. U. S. A.</w:t>
      </w:r>
      <w:r w:rsidRPr="00632C1C">
        <w:rPr>
          <w:sz w:val="20"/>
          <w:szCs w:val="20"/>
        </w:rPr>
        <w:t xml:space="preserve"> 2021;118:e2021717118. </w:t>
      </w:r>
    </w:p>
    <w:p w:rsidR="00632C1C" w:rsidRPr="00632C1C" w:rsidRDefault="00632C1C" w:rsidP="00632C1C">
      <w:pPr>
        <w:pStyle w:val="Bibliografi2"/>
        <w:rPr>
          <w:sz w:val="20"/>
          <w:szCs w:val="20"/>
        </w:rPr>
      </w:pPr>
      <w:r w:rsidRPr="00632C1C">
        <w:rPr>
          <w:sz w:val="20"/>
          <w:szCs w:val="20"/>
        </w:rPr>
        <w:t xml:space="preserve">5. </w:t>
      </w:r>
      <w:r w:rsidRPr="00632C1C">
        <w:rPr>
          <w:sz w:val="20"/>
          <w:szCs w:val="20"/>
        </w:rPr>
        <w:tab/>
        <w:t xml:space="preserve">Butters A, Lakdawala NK, Ingles J. Sex Differences in Hypertrophic Cardiomyopathy: Interaction With Genetics and Environment. </w:t>
      </w:r>
      <w:r w:rsidRPr="00632C1C">
        <w:rPr>
          <w:i/>
          <w:iCs/>
          <w:sz w:val="20"/>
          <w:szCs w:val="20"/>
        </w:rPr>
        <w:t>Curr. Heart Fail. Rep.</w:t>
      </w:r>
      <w:r w:rsidRPr="00632C1C">
        <w:rPr>
          <w:sz w:val="20"/>
          <w:szCs w:val="20"/>
        </w:rPr>
        <w:t xml:space="preserve"> 2021;18:264–273. </w:t>
      </w:r>
    </w:p>
    <w:p w:rsidR="00632C1C" w:rsidRPr="00632C1C" w:rsidRDefault="00632C1C" w:rsidP="00632C1C">
      <w:pPr>
        <w:pStyle w:val="Bibliografi2"/>
        <w:rPr>
          <w:sz w:val="20"/>
          <w:szCs w:val="20"/>
        </w:rPr>
      </w:pPr>
      <w:r w:rsidRPr="00632C1C">
        <w:rPr>
          <w:sz w:val="20"/>
          <w:szCs w:val="20"/>
        </w:rPr>
        <w:t xml:space="preserve">6. </w:t>
      </w:r>
      <w:r w:rsidRPr="00632C1C">
        <w:rPr>
          <w:sz w:val="20"/>
          <w:szCs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632C1C">
        <w:rPr>
          <w:i/>
          <w:iCs/>
          <w:sz w:val="20"/>
          <w:szCs w:val="20"/>
        </w:rPr>
        <w:t>JAMA Cardiol.</w:t>
      </w:r>
      <w:r w:rsidRPr="00632C1C">
        <w:rPr>
          <w:sz w:val="20"/>
          <w:szCs w:val="20"/>
        </w:rPr>
        <w:t xml:space="preserve"> 2020;5:83–91. </w:t>
      </w:r>
    </w:p>
    <w:p w:rsidR="00632C1C" w:rsidRPr="00632C1C" w:rsidRDefault="00632C1C" w:rsidP="00632C1C">
      <w:pPr>
        <w:pStyle w:val="Bibliografi2"/>
        <w:rPr>
          <w:sz w:val="20"/>
          <w:szCs w:val="20"/>
        </w:rPr>
      </w:pPr>
      <w:r w:rsidRPr="00632C1C">
        <w:rPr>
          <w:sz w:val="20"/>
          <w:szCs w:val="20"/>
        </w:rPr>
        <w:t xml:space="preserve">7. </w:t>
      </w:r>
      <w:r w:rsidRPr="00632C1C">
        <w:rPr>
          <w:sz w:val="20"/>
          <w:szCs w:val="20"/>
        </w:rPr>
        <w:tab/>
        <w:t xml:space="preserve">Harper AR, Goel A, Grace C, Thomson KL, Petersen SE, Xu X, Waring A, Ormondroyd E, Kramer CM, Ho CY, et al. Common genetic variants and modifiable risk factors underpin hypertrophic cardiomyopathy susceptibility and expressivity. </w:t>
      </w:r>
      <w:r w:rsidRPr="00632C1C">
        <w:rPr>
          <w:i/>
          <w:iCs/>
          <w:sz w:val="20"/>
          <w:szCs w:val="20"/>
        </w:rPr>
        <w:t>Nat. Genet.</w:t>
      </w:r>
      <w:r w:rsidRPr="00632C1C">
        <w:rPr>
          <w:sz w:val="20"/>
          <w:szCs w:val="20"/>
        </w:rPr>
        <w:t xml:space="preserve"> 2021;53:135–142. </w:t>
      </w:r>
    </w:p>
    <w:p w:rsidR="00632C1C" w:rsidRPr="00632C1C" w:rsidRDefault="00632C1C" w:rsidP="00632C1C">
      <w:pPr>
        <w:pStyle w:val="Bibliografi2"/>
        <w:rPr>
          <w:sz w:val="20"/>
          <w:szCs w:val="20"/>
        </w:rPr>
      </w:pPr>
      <w:r w:rsidRPr="00632C1C">
        <w:rPr>
          <w:sz w:val="20"/>
          <w:szCs w:val="20"/>
        </w:rPr>
        <w:t xml:space="preserve">8. </w:t>
      </w:r>
      <w:r w:rsidRPr="00632C1C">
        <w:rPr>
          <w:sz w:val="20"/>
          <w:szCs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632C1C">
        <w:rPr>
          <w:i/>
          <w:iCs/>
          <w:sz w:val="20"/>
          <w:szCs w:val="20"/>
        </w:rPr>
        <w:t>Eur. Heart J. Qual. Care Clin. Outcomes</w:t>
      </w:r>
      <w:r w:rsidRPr="00632C1C">
        <w:rPr>
          <w:sz w:val="20"/>
          <w:szCs w:val="20"/>
        </w:rPr>
        <w:t xml:space="preserve">. 2022;9:42–53. </w:t>
      </w:r>
    </w:p>
    <w:p w:rsidR="00632C1C" w:rsidRPr="00632C1C" w:rsidRDefault="00632C1C" w:rsidP="00632C1C">
      <w:pPr>
        <w:pStyle w:val="Bibliografi2"/>
        <w:rPr>
          <w:sz w:val="20"/>
          <w:szCs w:val="20"/>
        </w:rPr>
      </w:pPr>
      <w:r w:rsidRPr="00632C1C">
        <w:rPr>
          <w:sz w:val="20"/>
          <w:szCs w:val="20"/>
        </w:rPr>
        <w:t xml:space="preserve">9. </w:t>
      </w:r>
      <w:r w:rsidRPr="00632C1C">
        <w:rPr>
          <w:sz w:val="20"/>
          <w:szCs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632C1C">
        <w:rPr>
          <w:i/>
          <w:iCs/>
          <w:sz w:val="20"/>
          <w:szCs w:val="20"/>
        </w:rPr>
        <w:t>Circulation</w:t>
      </w:r>
      <w:r w:rsidRPr="00632C1C">
        <w:rPr>
          <w:sz w:val="20"/>
          <w:szCs w:val="20"/>
        </w:rPr>
        <w:t xml:space="preserve">. 2018;138:1387–1398. </w:t>
      </w:r>
    </w:p>
    <w:p w:rsidR="00632C1C" w:rsidRPr="00632C1C" w:rsidRDefault="00632C1C" w:rsidP="00632C1C">
      <w:pPr>
        <w:pStyle w:val="Bibliografi2"/>
        <w:rPr>
          <w:sz w:val="20"/>
          <w:szCs w:val="20"/>
        </w:rPr>
      </w:pPr>
      <w:r w:rsidRPr="00632C1C">
        <w:rPr>
          <w:sz w:val="20"/>
          <w:szCs w:val="20"/>
        </w:rPr>
        <w:t xml:space="preserve">10. </w:t>
      </w:r>
      <w:r w:rsidRPr="00632C1C">
        <w:rPr>
          <w:sz w:val="20"/>
          <w:szCs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632C1C">
        <w:rPr>
          <w:i/>
          <w:iCs/>
          <w:sz w:val="20"/>
          <w:szCs w:val="20"/>
        </w:rPr>
        <w:t>Circ. Genomic Precis. Med.</w:t>
      </w:r>
      <w:r w:rsidRPr="00632C1C">
        <w:rPr>
          <w:sz w:val="20"/>
          <w:szCs w:val="20"/>
        </w:rPr>
        <w:t xml:space="preserve"> [Internet]. [cited 2020 Sep 9];0. Available from: https://www.ahajournals.org/doi/10.1161/CIRCGEN.120.002929</w:t>
      </w:r>
    </w:p>
    <w:p w:rsidR="00632C1C" w:rsidRPr="00632C1C" w:rsidRDefault="00632C1C" w:rsidP="00632C1C">
      <w:pPr>
        <w:pStyle w:val="Bibliografi2"/>
        <w:rPr>
          <w:sz w:val="20"/>
          <w:szCs w:val="20"/>
        </w:rPr>
      </w:pPr>
      <w:r w:rsidRPr="00632C1C">
        <w:rPr>
          <w:sz w:val="20"/>
          <w:szCs w:val="20"/>
        </w:rPr>
        <w:t xml:space="preserve">11. </w:t>
      </w:r>
      <w:r w:rsidRPr="00632C1C">
        <w:rPr>
          <w:sz w:val="20"/>
          <w:szCs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632C1C">
        <w:rPr>
          <w:i/>
          <w:iCs/>
          <w:sz w:val="20"/>
          <w:szCs w:val="20"/>
        </w:rPr>
        <w:t>Genet. Med.</w:t>
      </w:r>
      <w:r w:rsidRPr="00632C1C">
        <w:rPr>
          <w:sz w:val="20"/>
          <w:szCs w:val="20"/>
        </w:rPr>
        <w:t xml:space="preserve"> 2015;17:405–423. </w:t>
      </w:r>
    </w:p>
    <w:p w:rsidR="00632C1C" w:rsidRPr="00632C1C" w:rsidRDefault="00632C1C" w:rsidP="00632C1C">
      <w:pPr>
        <w:pStyle w:val="Bibliografi2"/>
      </w:pPr>
      <w:r w:rsidRPr="00632C1C">
        <w:rPr>
          <w:sz w:val="20"/>
          <w:szCs w:val="20"/>
        </w:rPr>
        <w:t xml:space="preserve">12. </w:t>
      </w:r>
      <w:r w:rsidRPr="00632C1C">
        <w:rPr>
          <w:sz w:val="20"/>
          <w:szCs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632C1C">
        <w:rPr>
          <w:i/>
          <w:iCs/>
          <w:sz w:val="20"/>
          <w:szCs w:val="20"/>
        </w:rPr>
        <w:t>Genet. Med.</w:t>
      </w:r>
      <w:r w:rsidRPr="00632C1C">
        <w:rPr>
          <w:sz w:val="20"/>
          <w:szCs w:val="20"/>
        </w:rPr>
        <w:t xml:space="preserve"> 2018;20:899–909.</w:t>
      </w:r>
      <w:r w:rsidRPr="00632C1C">
        <w:t xml:space="preserve"> </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Clinical characteristics of patients with.</w:t>
      </w:r>
    </w:p>
    <w:tbl>
      <w:tblPr>
        <w:tblW w:w="0" w:type="auto"/>
        <w:jc w:val="center"/>
        <w:tblLayout w:type="fixed"/>
        <w:tblLook w:val="0420" w:firstRow="1" w:lastRow="0" w:firstColumn="0" w:lastColumn="0" w:noHBand="0" w:noVBand="1"/>
      </w:tblPr>
      <w:tblGrid>
        <w:gridCol w:w="3261"/>
        <w:gridCol w:w="2268"/>
        <w:gridCol w:w="2268"/>
        <w:gridCol w:w="1275"/>
      </w:tblGrid>
      <w:tr w:rsidR="00193C32" w:rsidRPr="00DB6D77" w:rsidTr="00DB5B60">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r w:rsidRPr="00DB6D77">
              <w:rPr>
                <w:rFonts w:ascii="Roboto" w:eastAsia="Helvetica" w:hAnsi="Roboto"/>
                <w:color w:val="000000"/>
                <w:sz w:val="22"/>
                <w:szCs w:val="22"/>
                <w:vertAlign w:val="superscript"/>
              </w:rPr>
              <w:t>1</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r w:rsidRPr="00DB6D77">
              <w:rPr>
                <w:rFonts w:ascii="Roboto" w:eastAsia="Helvetica" w:hAnsi="Roboto"/>
                <w:color w:val="000000"/>
                <w:sz w:val="22"/>
                <w:szCs w:val="22"/>
                <w:vertAlign w:val="superscript"/>
              </w:rPr>
              <w:t>1</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r w:rsidRPr="00DB6D77">
              <w:rPr>
                <w:rFonts w:ascii="Roboto" w:eastAsia="Helvetica" w:hAnsi="Roboto"/>
                <w:color w:val="000000"/>
                <w:sz w:val="22"/>
                <w:szCs w:val="22"/>
                <w:vertAlign w:val="superscript"/>
              </w:rPr>
              <w:t>2</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New York Heart Association functional class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1,265 (56%)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1,027 (46%)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716 (32%)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858 (39%)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239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327 (15%)</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16 (0.7%)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L</w:t>
            </w:r>
            <w:r w:rsidR="00AE167C" w:rsidRPr="00DB6D77">
              <w:rPr>
                <w:rFonts w:ascii="Roboto" w:eastAsia="Helvetica" w:hAnsi="Roboto"/>
                <w:bCs/>
                <w:color w:val="000000"/>
                <w:sz w:val="22"/>
                <w:szCs w:val="22"/>
              </w:rPr>
              <w:t>eft ventricular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AE167C"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S</w:t>
            </w:r>
            <w:r w:rsidR="00193C32" w:rsidRPr="00DB6D77">
              <w:rPr>
                <w:rFonts w:ascii="Roboto" w:eastAsia="Helvetica" w:hAnsi="Roboto"/>
                <w:bCs/>
                <w:color w:val="000000"/>
                <w:sz w:val="22"/>
                <w:szCs w:val="22"/>
              </w:rPr>
              <w:t>evere</w:t>
            </w:r>
            <w:r w:rsidRPr="00DB6D77">
              <w:rPr>
                <w:rFonts w:ascii="Roboto" w:eastAsia="Helvetica" w:hAnsi="Roboto"/>
                <w:bCs/>
                <w:color w:val="000000"/>
                <w:sz w:val="22"/>
                <w:szCs w:val="22"/>
              </w:rPr>
              <w:t xml:space="preserve"> left ventricular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proofErr w:type="spellStart"/>
            <w:r w:rsidRPr="00DB6D77">
              <w:rPr>
                <w:rFonts w:ascii="Roboto" w:eastAsia="Helvetica" w:hAnsi="Roboto"/>
                <w:bCs/>
                <w:color w:val="000000"/>
                <w:sz w:val="22"/>
                <w:szCs w:val="22"/>
              </w:rPr>
              <w:t>event_icd</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1,114 (41%)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594 (22%)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bCs/>
              </w:rPr>
            </w:pPr>
            <w:proofErr w:type="spellStart"/>
            <w:r w:rsidRPr="00DB6D77">
              <w:rPr>
                <w:rFonts w:ascii="Roboto" w:eastAsia="Helvetica" w:hAnsi="Roboto"/>
                <w:bCs/>
                <w:color w:val="000000"/>
                <w:sz w:val="22"/>
                <w:szCs w:val="22"/>
              </w:rPr>
              <w:t>nyha_hf</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S</w:t>
            </w:r>
            <w:r w:rsidR="00193C32" w:rsidRPr="00DB6D77">
              <w:rPr>
                <w:rFonts w:ascii="Roboto" w:eastAsia="Helvetica" w:hAnsi="Roboto"/>
                <w:bCs/>
                <w:color w:val="000000"/>
                <w:sz w:val="22"/>
                <w:szCs w:val="22"/>
              </w:rPr>
              <w:t>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bCs/>
              </w:rPr>
            </w:pPr>
            <w:r w:rsidRPr="00DB6D77">
              <w:rPr>
                <w:rFonts w:ascii="Roboto" w:eastAsia="Helvetica" w:hAnsi="Roboto"/>
                <w:bCs/>
                <w:color w:val="000000"/>
                <w:sz w:val="22"/>
                <w:szCs w:val="22"/>
              </w:rPr>
              <w:t>S</w:t>
            </w:r>
            <w:r w:rsidR="00193C32" w:rsidRPr="00DB6D77">
              <w:rPr>
                <w:rFonts w:ascii="Roboto" w:eastAsia="Helvetica" w:hAnsi="Roboto"/>
                <w:bCs/>
                <w:color w:val="000000"/>
                <w:sz w:val="22"/>
                <w:szCs w:val="22"/>
              </w:rPr>
              <w:t>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E7F65"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echo_lvidd</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echo_lvidd_bsa</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echo_lvids</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echo_lvids_bsa</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b/>
                <w:color w:val="000000"/>
                <w:sz w:val="22"/>
                <w:szCs w:val="22"/>
              </w:rPr>
              <w:t>echo_esc_risk_score0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2.50 (1.60, 3.90)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1.90 (1.30, 2.80)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proofErr w:type="spellStart"/>
            <w:r w:rsidRPr="00DB6D77">
              <w:rPr>
                <w:rFonts w:ascii="Roboto" w:eastAsia="Helvetica" w:hAnsi="Roboto"/>
                <w:b/>
                <w:color w:val="000000"/>
                <w:sz w:val="22"/>
                <w:szCs w:val="22"/>
              </w:rPr>
              <w:t>esc_risk</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193C32" w:rsidRPr="00DB6D77" w:rsidTr="00DB5B60">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vertAlign w:val="superscript"/>
              </w:rPr>
              <w:t>1</w:t>
            </w:r>
            <w:r w:rsidRPr="00DB6D77">
              <w:rPr>
                <w:rFonts w:ascii="Roboto" w:eastAsia="Helvetica" w:hAnsi="Roboto"/>
                <w:color w:val="000000"/>
                <w:sz w:val="22"/>
                <w:szCs w:val="22"/>
              </w:rPr>
              <w:t>n (%); Median (25% to 75%); Median (IQR)</w:t>
            </w:r>
          </w:p>
        </w:tc>
      </w:tr>
      <w:tr w:rsidR="00193C32" w:rsidRPr="00DB6D77" w:rsidTr="00DB5B60">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vertAlign w:val="superscript"/>
              </w:rPr>
              <w:t>2</w:t>
            </w:r>
            <w:r w:rsidRPr="00DB6D77">
              <w:rPr>
                <w:rFonts w:ascii="Roboto" w:eastAsia="Helvetica" w:hAnsi="Roboto"/>
                <w:color w:val="000000"/>
                <w:sz w:val="22"/>
                <w:szCs w:val="22"/>
              </w:rPr>
              <w:t>Pearson's Chi-squared test; Wilcoxon rank sum test; Fisher's exact test</w:t>
            </w:r>
          </w:p>
        </w:tc>
      </w:tr>
    </w:tbl>
    <w:p w:rsidR="004C0055" w:rsidRPr="007401B1" w:rsidRDefault="001D711A" w:rsidP="007401B1">
      <w:pPr>
        <w:tabs>
          <w:tab w:val="left" w:pos="2650"/>
        </w:tabs>
        <w:spacing w:line="480" w:lineRule="auto"/>
        <w:rPr>
          <w:rFonts w:ascii="Roboto" w:hAnsi="Roboto"/>
          <w:color w:val="000000"/>
        </w:rPr>
      </w:pPr>
      <w:r w:rsidRPr="00DB6D77">
        <w:rPr>
          <w:rFonts w:ascii="Roboto" w:hAnsi="Roboto"/>
          <w:color w:val="000000"/>
        </w:rPr>
        <w:lastRenderedPageBreak/>
        <w:t xml:space="preserve"> </w:t>
      </w:r>
      <w:r w:rsidRPr="00DB6D77">
        <w:rPr>
          <w:rFonts w:ascii="Roboto" w:hAnsi="Roboto"/>
          <w:b/>
          <w:bCs/>
        </w:rPr>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DB6D77" w:rsidRPr="00DB6D77" w:rsidRDefault="00E610EA">
      <w:pPr>
        <w:rPr>
          <w:rFonts w:ascii="Roboto" w:hAnsi="Roboto"/>
        </w:rPr>
      </w:pPr>
      <w:r>
        <w:rPr>
          <w:rFonts w:ascii="Roboto" w:hAnsi="Roboto"/>
          <w:noProof/>
          <w14:ligatures w14:val="standardContextual"/>
        </w:rPr>
        <w:drawing>
          <wp:inline distT="0" distB="0" distL="0" distR="0">
            <wp:extent cx="6058535" cy="4036060"/>
            <wp:effectExtent l="0" t="0" r="0" b="2540"/>
            <wp:docPr id="1122300748"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00748" name="Billede 11223007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4C0055" w:rsidRPr="00DB6D77" w:rsidRDefault="00B14185">
      <w:pPr>
        <w:rPr>
          <w:rFonts w:ascii="Roboto" w:hAnsi="Roboto"/>
          <w:b/>
          <w:bCs/>
        </w:rPr>
      </w:pPr>
      <w:r>
        <w:rPr>
          <w:rFonts w:ascii="Roboto" w:hAnsi="Roboto"/>
          <w:b/>
          <w:bCs/>
        </w:rPr>
        <w:t xml:space="preserve">Legend: </w:t>
      </w:r>
      <w:r>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5206314" cy="6770227"/>
            <wp:effectExtent l="0" t="0" r="127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428" cy="681068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08357F"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93548352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3527" name="Billede 9354835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0E754A" w:rsidRDefault="000E754A" w:rsidP="001D711A">
      <w:pPr>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35293514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5147" name="Billede 3529351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12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the other </w:t>
      </w:r>
      <w:r w:rsidR="00D5141C" w:rsidRPr="00FD4F8B">
        <w:rPr>
          <w:rFonts w:ascii="Roboto" w:hAnsi="Roboto"/>
          <w:sz w:val="22"/>
          <w:szCs w:val="22"/>
        </w:rPr>
        <w:t>features</w:t>
      </w:r>
      <w:r w:rsidRPr="00FD4F8B">
        <w:rPr>
          <w:rFonts w:ascii="Roboto" w:hAnsi="Roboto"/>
          <w:sz w:val="22"/>
          <w:szCs w:val="22"/>
        </w:rPr>
        <w:t xml:space="preserve"> (y-axis) at the time of diagnosis. Only relative risk-ratios larger than 1 with a p-value of &lt;0.00035 are shown in text (corresponding to a p &lt;0.05 after Bonferroni correction</w:t>
      </w:r>
      <w:r w:rsidR="00EE68C0" w:rsidRPr="00FD4F8B">
        <w:rPr>
          <w:rFonts w:ascii="Roboto" w:hAnsi="Roboto"/>
          <w:sz w:val="22"/>
          <w:szCs w:val="22"/>
        </w:rPr>
        <w:t xml:space="preserve"> for multiple testing</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AE167C" w:rsidRPr="00DB6D77" w:rsidRDefault="00350333">
      <w:pPr>
        <w:rPr>
          <w:rFonts w:ascii="Roboto" w:hAnsi="Roboto"/>
        </w:rPr>
      </w:pPr>
      <w:r>
        <w:rPr>
          <w:rFonts w:ascii="Roboto" w:hAnsi="Roboto"/>
          <w:noProof/>
          <w14:ligatures w14:val="standardContextual"/>
        </w:rPr>
        <w:drawing>
          <wp:inline distT="0" distB="0" distL="0" distR="0">
            <wp:extent cx="6058535" cy="5381625"/>
            <wp:effectExtent l="0" t="0" r="0" b="3175"/>
            <wp:docPr id="1756838823"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8823" name="Billede 17568388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r w:rsidR="00AE167C" w:rsidRPr="00DB6D77">
        <w:rPr>
          <w:rFonts w:ascii="Roboto" w:hAnsi="Roboto"/>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B865B0" w:rsidP="001D711A">
      <w:pPr>
        <w:tabs>
          <w:tab w:val="left" w:pos="3946"/>
        </w:tabs>
        <w:spacing w:line="480" w:lineRule="auto"/>
        <w:rPr>
          <w:rFonts w:ascii="Roboto" w:hAnsi="Roboto"/>
        </w:rPr>
      </w:pPr>
      <w:r>
        <w:rPr>
          <w:rFonts w:ascii="Roboto" w:hAnsi="Roboto"/>
          <w:noProof/>
          <w14:ligatures w14:val="standardContextual"/>
        </w:rPr>
        <w:drawing>
          <wp:inline distT="0" distB="0" distL="0" distR="0">
            <wp:extent cx="3770399" cy="6705600"/>
            <wp:effectExtent l="0" t="0" r="1905" b="0"/>
            <wp:docPr id="113077829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8294" name="Billede 11307782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4556" cy="6730777"/>
                    </a:xfrm>
                    <a:prstGeom prst="rect">
                      <a:avLst/>
                    </a:prstGeom>
                  </pic:spPr>
                </pic:pic>
              </a:graphicData>
            </a:graphic>
          </wp:inline>
        </w:drawing>
      </w: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A0145" w:rsidRDefault="007A0145">
      <w:r>
        <w:separator/>
      </w:r>
    </w:p>
  </w:endnote>
  <w:endnote w:type="continuationSeparator" w:id="0">
    <w:p w:rsidR="007A0145" w:rsidRDefault="007A0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A0145" w:rsidRDefault="007A0145">
      <w:r>
        <w:separator/>
      </w:r>
    </w:p>
  </w:footnote>
  <w:footnote w:type="continuationSeparator" w:id="0">
    <w:p w:rsidR="007A0145" w:rsidRDefault="007A01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2"/>
  </w:num>
  <w:num w:numId="2" w16cid:durableId="927075139">
    <w:abstractNumId w:val="9"/>
  </w:num>
  <w:num w:numId="3" w16cid:durableId="805243653">
    <w:abstractNumId w:val="1"/>
  </w:num>
  <w:num w:numId="4" w16cid:durableId="1881699937">
    <w:abstractNumId w:val="5"/>
  </w:num>
  <w:num w:numId="5" w16cid:durableId="967050874">
    <w:abstractNumId w:val="12"/>
  </w:num>
  <w:num w:numId="6" w16cid:durableId="736519180">
    <w:abstractNumId w:val="14"/>
  </w:num>
  <w:num w:numId="7" w16cid:durableId="1790969715">
    <w:abstractNumId w:val="13"/>
  </w:num>
  <w:num w:numId="8" w16cid:durableId="1964115598">
    <w:abstractNumId w:val="4"/>
  </w:num>
  <w:num w:numId="9" w16cid:durableId="1225531913">
    <w:abstractNumId w:val="6"/>
  </w:num>
  <w:num w:numId="10" w16cid:durableId="2034912251">
    <w:abstractNumId w:val="8"/>
  </w:num>
  <w:num w:numId="11" w16cid:durableId="1811436100">
    <w:abstractNumId w:val="7"/>
  </w:num>
  <w:num w:numId="12" w16cid:durableId="1045718987">
    <w:abstractNumId w:val="0"/>
  </w:num>
  <w:num w:numId="13" w16cid:durableId="1920288552">
    <w:abstractNumId w:val="3"/>
  </w:num>
  <w:num w:numId="14" w16cid:durableId="490560720">
    <w:abstractNumId w:val="10"/>
  </w:num>
  <w:num w:numId="15" w16cid:durableId="997995756">
    <w:abstractNumId w:val="16"/>
  </w:num>
  <w:num w:numId="16" w16cid:durableId="1965310349">
    <w:abstractNumId w:val="15"/>
  </w:num>
  <w:num w:numId="17" w16cid:durableId="11649303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44362"/>
    <w:rsid w:val="00045C43"/>
    <w:rsid w:val="00045FF8"/>
    <w:rsid w:val="00056EEB"/>
    <w:rsid w:val="00066095"/>
    <w:rsid w:val="0008357F"/>
    <w:rsid w:val="000B140C"/>
    <w:rsid w:val="000B753D"/>
    <w:rsid w:val="000E754A"/>
    <w:rsid w:val="000F7E82"/>
    <w:rsid w:val="0013085D"/>
    <w:rsid w:val="00167E21"/>
    <w:rsid w:val="0018036F"/>
    <w:rsid w:val="00190371"/>
    <w:rsid w:val="00193C32"/>
    <w:rsid w:val="001B3DE8"/>
    <w:rsid w:val="001D711A"/>
    <w:rsid w:val="001E5A55"/>
    <w:rsid w:val="001E7F65"/>
    <w:rsid w:val="0020425B"/>
    <w:rsid w:val="00226DDB"/>
    <w:rsid w:val="0023131F"/>
    <w:rsid w:val="002823F4"/>
    <w:rsid w:val="002970A1"/>
    <w:rsid w:val="002A2493"/>
    <w:rsid w:val="002B10D0"/>
    <w:rsid w:val="002B6640"/>
    <w:rsid w:val="002C7D53"/>
    <w:rsid w:val="003157B8"/>
    <w:rsid w:val="00317FF7"/>
    <w:rsid w:val="00350333"/>
    <w:rsid w:val="00351DC9"/>
    <w:rsid w:val="0037016C"/>
    <w:rsid w:val="00370E07"/>
    <w:rsid w:val="0039001D"/>
    <w:rsid w:val="003D6095"/>
    <w:rsid w:val="003D647E"/>
    <w:rsid w:val="003E2EB5"/>
    <w:rsid w:val="003E33A6"/>
    <w:rsid w:val="003F0B99"/>
    <w:rsid w:val="004640FE"/>
    <w:rsid w:val="0047289B"/>
    <w:rsid w:val="0048195E"/>
    <w:rsid w:val="004C0055"/>
    <w:rsid w:val="004E262F"/>
    <w:rsid w:val="004F1BE0"/>
    <w:rsid w:val="00501943"/>
    <w:rsid w:val="005307F4"/>
    <w:rsid w:val="00535BD8"/>
    <w:rsid w:val="00556B72"/>
    <w:rsid w:val="00575C41"/>
    <w:rsid w:val="00580470"/>
    <w:rsid w:val="005D6489"/>
    <w:rsid w:val="005F2993"/>
    <w:rsid w:val="00625C27"/>
    <w:rsid w:val="00632C1C"/>
    <w:rsid w:val="006368C7"/>
    <w:rsid w:val="0064270F"/>
    <w:rsid w:val="006645EA"/>
    <w:rsid w:val="00667385"/>
    <w:rsid w:val="00696771"/>
    <w:rsid w:val="006A67A7"/>
    <w:rsid w:val="006F102D"/>
    <w:rsid w:val="00711E23"/>
    <w:rsid w:val="007401B1"/>
    <w:rsid w:val="007A0145"/>
    <w:rsid w:val="007B1E2E"/>
    <w:rsid w:val="007C6E46"/>
    <w:rsid w:val="007C7784"/>
    <w:rsid w:val="007F100A"/>
    <w:rsid w:val="008B59F9"/>
    <w:rsid w:val="008D55D0"/>
    <w:rsid w:val="0090368F"/>
    <w:rsid w:val="0099298A"/>
    <w:rsid w:val="00993A56"/>
    <w:rsid w:val="00AC26B8"/>
    <w:rsid w:val="00AC5E31"/>
    <w:rsid w:val="00AC7B4E"/>
    <w:rsid w:val="00AE167C"/>
    <w:rsid w:val="00AF0B6D"/>
    <w:rsid w:val="00B136D1"/>
    <w:rsid w:val="00B14185"/>
    <w:rsid w:val="00B26E80"/>
    <w:rsid w:val="00B60920"/>
    <w:rsid w:val="00B71E8E"/>
    <w:rsid w:val="00B865B0"/>
    <w:rsid w:val="00BA44FB"/>
    <w:rsid w:val="00BB098E"/>
    <w:rsid w:val="00BE2D5C"/>
    <w:rsid w:val="00BF182A"/>
    <w:rsid w:val="00C113BB"/>
    <w:rsid w:val="00C114B4"/>
    <w:rsid w:val="00C21997"/>
    <w:rsid w:val="00CA4002"/>
    <w:rsid w:val="00CD1602"/>
    <w:rsid w:val="00D11238"/>
    <w:rsid w:val="00D3206F"/>
    <w:rsid w:val="00D5141C"/>
    <w:rsid w:val="00D5159C"/>
    <w:rsid w:val="00D57B5A"/>
    <w:rsid w:val="00D7731C"/>
    <w:rsid w:val="00DA50F5"/>
    <w:rsid w:val="00DB6D77"/>
    <w:rsid w:val="00DE0329"/>
    <w:rsid w:val="00DF1022"/>
    <w:rsid w:val="00E20A44"/>
    <w:rsid w:val="00E610EA"/>
    <w:rsid w:val="00E92720"/>
    <w:rsid w:val="00EA5AC4"/>
    <w:rsid w:val="00EA6D3E"/>
    <w:rsid w:val="00EE68C0"/>
    <w:rsid w:val="00F14A52"/>
    <w:rsid w:val="00F15144"/>
    <w:rsid w:val="00F35D8B"/>
    <w:rsid w:val="00F4549D"/>
    <w:rsid w:val="00F9152D"/>
    <w:rsid w:val="00FA0FD1"/>
    <w:rsid w:val="00FB109B"/>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footer" Target="footer3.xm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11069</Words>
  <Characters>67526</Characters>
  <Application>Microsoft Office Word</Application>
  <DocSecurity>0</DocSecurity>
  <Lines>562</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2023-05-03T14:41:00Z</dcterms:created>
  <dcterms:modified xsi:type="dcterms:W3CDTF">2023-05-03T14:41:00Z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id="Tnnv6ewP"/&gt;&lt;style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